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水性聚氨酯各色面漆产品说明书（双组份）</w:t>
      </w:r>
    </w:p>
    <w:tbl>
      <w:tblPr>
        <w:tblStyle w:val="6"/>
        <w:tblpPr w:leftFromText="180" w:rightFromText="180" w:vertAnchor="page" w:horzAnchor="page" w:tblpXSpec="center" w:tblpY="2313"/>
        <w:tblOverlap w:val="never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96"/>
        <w:gridCol w:w="1061"/>
        <w:gridCol w:w="750"/>
        <w:gridCol w:w="1080"/>
        <w:gridCol w:w="1065"/>
        <w:gridCol w:w="1293"/>
        <w:gridCol w:w="837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产品组成</w:t>
            </w:r>
          </w:p>
        </w:tc>
        <w:tc>
          <w:tcPr>
            <w:tcW w:w="89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本产品由羟基丙烯酸分散体、异氰酸酯、防锈颜料、耐候性颜料、助剂等组成双组份防腐或装饰涂料。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产品性能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及用途</w:t>
            </w:r>
          </w:p>
        </w:tc>
        <w:tc>
          <w:tcPr>
            <w:tcW w:w="89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性能：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1、漆膜坚韧，良好的耐冲击性和耐磨性，优异的耐候性，优良的耐化学品性和耐盐雾性能；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2、优异的装饰性能；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3、常温干燥，施工便捷，水作为稀释剂，安全环保，是非易燃易爆产品。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用途：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适用于中、高大气腐蚀性等级条件下的铁、镀锌板等基材；应用于大型户外工程的钢结构，塔吊，等各种工程机械；机床，仪器，仪表等表面涂装；车辆，车厢，船舶等表面涂装；工程桥梁，公路护栏，路灯等表面涂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涂装数据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状态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光泽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硬度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划格试验</w:t>
            </w:r>
          </w:p>
        </w:tc>
        <w:tc>
          <w:tcPr>
            <w:tcW w:w="10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涂装膜厚</w:t>
            </w:r>
          </w:p>
        </w:tc>
        <w:tc>
          <w:tcPr>
            <w:tcW w:w="213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涂布率</w:t>
            </w:r>
          </w:p>
        </w:tc>
        <w:tc>
          <w:tcPr>
            <w:tcW w:w="15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涂覆方法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A各色液体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B透明液体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≥80°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（60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/单位值）</w:t>
            </w:r>
          </w:p>
        </w:tc>
        <w:tc>
          <w:tcPr>
            <w:tcW w:w="7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superscript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≥2H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≤1级</w:t>
            </w:r>
          </w:p>
        </w:tc>
        <w:tc>
          <w:tcPr>
            <w:tcW w:w="10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40-70μm</w:t>
            </w:r>
          </w:p>
        </w:tc>
        <w:tc>
          <w:tcPr>
            <w:tcW w:w="213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在上述不挥发物含量和干膜20-35μm的条件下，0.1~0.15 kg / m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空气喷涂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刷涂、辊涂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干燥和复涂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时间间隔</w:t>
            </w: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底材温度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表干时间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实干时间</w:t>
            </w:r>
          </w:p>
        </w:tc>
        <w:tc>
          <w:tcPr>
            <w:tcW w:w="235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完全干燥时间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复涂间隔时间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2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10-40℃</w:t>
            </w:r>
          </w:p>
        </w:tc>
        <w:tc>
          <w:tcPr>
            <w:tcW w:w="106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≤2h</w:t>
            </w:r>
          </w:p>
        </w:tc>
        <w:tc>
          <w:tcPr>
            <w:tcW w:w="183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≤24h</w:t>
            </w:r>
          </w:p>
        </w:tc>
        <w:tc>
          <w:tcPr>
            <w:tcW w:w="235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7d</w:t>
            </w:r>
          </w:p>
        </w:tc>
        <w:tc>
          <w:tcPr>
            <w:tcW w:w="235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12h-7d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施工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参考</w:t>
            </w:r>
          </w:p>
        </w:tc>
        <w:tc>
          <w:tcPr>
            <w:tcW w:w="89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1、表面处理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涂覆的表面均应清洁、干燥、无污染，如果有油脂，应清洗干净。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2、施工条件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(1) 施工环境温度：0℃至50℃，钢板表面温度高于露点温度3℃以上。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(2) 施工环境湿度：相对湿度不超过85%。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(3) 稀释剂/清洗剂：纯净水。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(4) 稀释参数：稀释剂用量（重量比%）刷涂、辊涂（0~5）；空气喷涂（5~10）；高压无气喷涂（0~5）。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(5) 作业暂停：请勿让漆料留在漆管、喷枪或喷涂设备中，如果作业暂停时间较长，建议清洗。施工结束后立即用水清洗所有设备，建议在施工过程中也定时冲洗喷涂设备，清洗的频率取决于喷涂量、温度和时间，包括所有的中断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(6) 涂装特性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使用前应先搅拌均匀，同时避免产生大量气泡。避免多种涂覆方式混用，采用喷涂法可以获得最佳的外观。为获得良好的防锈性能，必须使该涂料的最小干膜厚度达到60um，推荐厚度60-80um。涂覆过厚，否则使涂膜刚性差；也要避免干喷，否则会使涂膜出现针孔。如增快空气流动可以加快干燥速度。施工后剩余产品要密封保存，以免产品失效，造成损失。工具设备等应及时清理干净，防止产品干固后造成喷涂设备损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混合使用寿命——5℃   15℃   25℃   40℃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600" w:firstLineChars="8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8h    4h     2h   40min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第—道干膜厚度达到20~35um，间隔60~120分钟后，再涂第二道，厚度控制在40~70μm。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推荐配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套产品</w:t>
            </w:r>
          </w:p>
        </w:tc>
        <w:tc>
          <w:tcPr>
            <w:tcW w:w="89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底漆：水性环氧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各类底漆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，水性无机富锌，水性聚氨酯涂料；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中间漆：水性环氧云铁中间漆；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如需另配请垂询我公司，依据实际应用环境及要求，将给出更为经济合理的涂层配套方案。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健康与安全</w:t>
            </w:r>
          </w:p>
        </w:tc>
        <w:tc>
          <w:tcPr>
            <w:tcW w:w="89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避免皮肤和眼睛接触到涂料，施工前应穿戴好工作服、手套、防护眼镜及面具等。如有涂料溅到皮肤上，应立即用温水、肥皂水或其它适当的清洗剂进行清洗，溅入眼睛应用大量清水进行冲洗，并及时去医院就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贮存</w:t>
            </w:r>
          </w:p>
        </w:tc>
        <w:tc>
          <w:tcPr>
            <w:tcW w:w="89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包装容器保持密闭，在25℃的环境下至少可以贮存6个月，此后应检测后再使用。贮存在干燥、阴凉、通风处。</w:t>
            </w:r>
          </w:p>
        </w:tc>
      </w:tr>
    </w:tbl>
    <w:p>
      <w:pPr>
        <w:jc w:val="left"/>
      </w:pPr>
    </w:p>
    <w:sectPr>
      <w:headerReference r:id="rId3" w:type="default"/>
      <w:footerReference r:id="rId4" w:type="default"/>
      <w:pgSz w:w="11906" w:h="16838"/>
      <w:pgMar w:top="1660" w:right="1800" w:bottom="1440" w:left="1800" w:header="850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宋体"/>
        <w:b/>
        <w:bCs/>
        <w:sz w:val="16"/>
        <w:szCs w:val="16"/>
      </w:rPr>
    </w:pPr>
    <w:r>
      <w:rPr>
        <w:rFonts w:hint="eastAsia" w:ascii="宋体" w:hAnsi="宋体" w:eastAsia="宋体" w:cs="宋体"/>
        <w:b/>
        <w:bCs/>
        <w:sz w:val="16"/>
        <w:szCs w:val="16"/>
      </w:rPr>
      <w:t>本资料所列数据均由实验室测试所得，所有数据均仅供使用者参考，因个别情况数据会有所差异。</w:t>
    </w:r>
  </w:p>
  <w:p>
    <w:pPr>
      <w:pStyle w:val="3"/>
      <w:jc w:val="center"/>
      <w:rPr>
        <w:rFonts w:ascii="宋体" w:hAnsi="宋体" w:eastAsia="宋体" w:cs="宋体"/>
        <w:b/>
        <w:bCs/>
        <w:sz w:val="16"/>
        <w:szCs w:val="16"/>
      </w:rPr>
    </w:pPr>
    <w:r>
      <w:rPr>
        <w:b/>
        <w:bCs/>
      </w:rPr>
      <w:pict>
        <v:shape id="_x0000_s4104" o:spid="_x0000_s4104" o:spt="202" type="#_x0000_t202" style="position:absolute;left:0pt;margin-left:392.1pt;margin-top:9.6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</w:rPr>
                </w:pP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6"/>
        <w:szCs w:val="16"/>
      </w:rPr>
      <w:t>本产品应由专业涂装操作人员根据本说明书使用。如果没有仔细阅读说明书，则不可使用本产品。</w:t>
    </w:r>
  </w:p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5060" w:firstLineChars="2300"/>
      <w:jc w:val="left"/>
      <w:rPr>
        <w:b/>
        <w:bCs/>
        <w:sz w:val="22"/>
        <w:szCs w:val="22"/>
      </w:rPr>
    </w:pPr>
    <w:r>
      <w:rPr>
        <w:rFonts w:hint="eastAsia"/>
        <w:sz w:val="22"/>
        <w:szCs w:val="22"/>
      </w:rPr>
      <w:drawing>
        <wp:anchor distT="0" distB="0" distL="114300" distR="114300" simplePos="0" relativeHeight="7168" behindDoc="0" locked="0" layoutInCell="1" allowOverlap="1">
          <wp:simplePos x="0" y="0"/>
          <wp:positionH relativeFrom="column">
            <wp:posOffset>715645</wp:posOffset>
          </wp:positionH>
          <wp:positionV relativeFrom="paragraph">
            <wp:posOffset>-64770</wp:posOffset>
          </wp:positionV>
          <wp:extent cx="1380490" cy="393700"/>
          <wp:effectExtent l="0" t="0" r="10160" b="6350"/>
          <wp:wrapNone/>
          <wp:docPr id="1" name="图片 1" descr="H:\A常用设计图片\钟楼水漆编辑透明图\钟楼水漆-透明图层1.png钟楼水漆-透明图层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:\A常用设计图片\钟楼水漆编辑透明图\钟楼水漆-透明图层1.png钟楼水漆-透明图层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dotted" w:color="auto" w:sz="4" w:space="1"/>
      </w:pBdr>
      <w:tabs>
        <w:tab w:val="right" w:pos="9040"/>
        <w:tab w:val="clear" w:pos="8306"/>
      </w:tabs>
      <w:ind w:left="-619" w:leftChars="-295" w:right="-512" w:rightChars="-244" w:firstLine="5541" w:firstLineChars="2509"/>
      <w:jc w:val="left"/>
    </w:pPr>
    <w:r>
      <w:rPr>
        <w:rFonts w:hint="eastAsia"/>
        <w:b/>
        <w:bCs/>
        <w:sz w:val="22"/>
        <w:szCs w:val="22"/>
      </w:rPr>
      <w:t>工业涂装卫士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35F"/>
    <w:rsid w:val="00023EB7"/>
    <w:rsid w:val="000835C0"/>
    <w:rsid w:val="000A59CC"/>
    <w:rsid w:val="000E4C1F"/>
    <w:rsid w:val="000F59EE"/>
    <w:rsid w:val="00124C27"/>
    <w:rsid w:val="00143EEB"/>
    <w:rsid w:val="0017445D"/>
    <w:rsid w:val="00186EF6"/>
    <w:rsid w:val="001C5966"/>
    <w:rsid w:val="001D11EA"/>
    <w:rsid w:val="002507F2"/>
    <w:rsid w:val="00253908"/>
    <w:rsid w:val="00262F27"/>
    <w:rsid w:val="00263CB5"/>
    <w:rsid w:val="00297E77"/>
    <w:rsid w:val="002C3983"/>
    <w:rsid w:val="002D196B"/>
    <w:rsid w:val="002F09C9"/>
    <w:rsid w:val="003136DC"/>
    <w:rsid w:val="00337552"/>
    <w:rsid w:val="00357DC6"/>
    <w:rsid w:val="0039035F"/>
    <w:rsid w:val="00394992"/>
    <w:rsid w:val="003B155B"/>
    <w:rsid w:val="003D72FD"/>
    <w:rsid w:val="003E0600"/>
    <w:rsid w:val="003E10E7"/>
    <w:rsid w:val="0040109D"/>
    <w:rsid w:val="00405F2B"/>
    <w:rsid w:val="00422F66"/>
    <w:rsid w:val="0043776B"/>
    <w:rsid w:val="00442196"/>
    <w:rsid w:val="004834CF"/>
    <w:rsid w:val="004C1F74"/>
    <w:rsid w:val="004C40C8"/>
    <w:rsid w:val="004F719A"/>
    <w:rsid w:val="00530015"/>
    <w:rsid w:val="00552E85"/>
    <w:rsid w:val="005A4D96"/>
    <w:rsid w:val="005A525C"/>
    <w:rsid w:val="005B4751"/>
    <w:rsid w:val="005B6D4E"/>
    <w:rsid w:val="005D100D"/>
    <w:rsid w:val="00623516"/>
    <w:rsid w:val="00647DC8"/>
    <w:rsid w:val="00676AB3"/>
    <w:rsid w:val="0067719B"/>
    <w:rsid w:val="006A0995"/>
    <w:rsid w:val="006A3AA7"/>
    <w:rsid w:val="006D5D70"/>
    <w:rsid w:val="006F3690"/>
    <w:rsid w:val="00707026"/>
    <w:rsid w:val="00720953"/>
    <w:rsid w:val="007818AA"/>
    <w:rsid w:val="007A0E1B"/>
    <w:rsid w:val="007A20B0"/>
    <w:rsid w:val="007B1DE8"/>
    <w:rsid w:val="007C5DDE"/>
    <w:rsid w:val="007E55D5"/>
    <w:rsid w:val="007E7941"/>
    <w:rsid w:val="008050F4"/>
    <w:rsid w:val="008435A6"/>
    <w:rsid w:val="00854384"/>
    <w:rsid w:val="008A2CF1"/>
    <w:rsid w:val="008D16FF"/>
    <w:rsid w:val="00904168"/>
    <w:rsid w:val="00917271"/>
    <w:rsid w:val="0097781A"/>
    <w:rsid w:val="00993849"/>
    <w:rsid w:val="009A216F"/>
    <w:rsid w:val="009A6115"/>
    <w:rsid w:val="009C4046"/>
    <w:rsid w:val="009C4469"/>
    <w:rsid w:val="009F42AE"/>
    <w:rsid w:val="00A5290D"/>
    <w:rsid w:val="00A75969"/>
    <w:rsid w:val="00AA7BDD"/>
    <w:rsid w:val="00AC55C2"/>
    <w:rsid w:val="00AD018E"/>
    <w:rsid w:val="00AD56B2"/>
    <w:rsid w:val="00B124E3"/>
    <w:rsid w:val="00B303A4"/>
    <w:rsid w:val="00BB1C29"/>
    <w:rsid w:val="00BC7013"/>
    <w:rsid w:val="00BF3A68"/>
    <w:rsid w:val="00C22BFF"/>
    <w:rsid w:val="00C34F57"/>
    <w:rsid w:val="00C60504"/>
    <w:rsid w:val="00C81A06"/>
    <w:rsid w:val="00C91979"/>
    <w:rsid w:val="00CA41E1"/>
    <w:rsid w:val="00CC0038"/>
    <w:rsid w:val="00CC46C3"/>
    <w:rsid w:val="00D43320"/>
    <w:rsid w:val="00D50FC1"/>
    <w:rsid w:val="00D5167C"/>
    <w:rsid w:val="00D72572"/>
    <w:rsid w:val="00D86DF5"/>
    <w:rsid w:val="00DB7F32"/>
    <w:rsid w:val="00DD2A7C"/>
    <w:rsid w:val="00E123D6"/>
    <w:rsid w:val="00E40F65"/>
    <w:rsid w:val="00E64485"/>
    <w:rsid w:val="00E67AFE"/>
    <w:rsid w:val="00E96221"/>
    <w:rsid w:val="00EC3FA5"/>
    <w:rsid w:val="00EC44E4"/>
    <w:rsid w:val="00ED767E"/>
    <w:rsid w:val="00F424AF"/>
    <w:rsid w:val="00F47532"/>
    <w:rsid w:val="00F62E0E"/>
    <w:rsid w:val="00F640A1"/>
    <w:rsid w:val="00F71FAB"/>
    <w:rsid w:val="00F722FF"/>
    <w:rsid w:val="00F72831"/>
    <w:rsid w:val="00FD0733"/>
    <w:rsid w:val="05555F8A"/>
    <w:rsid w:val="06791592"/>
    <w:rsid w:val="06C452B7"/>
    <w:rsid w:val="086774DE"/>
    <w:rsid w:val="08AA71C7"/>
    <w:rsid w:val="09B55F27"/>
    <w:rsid w:val="09EA69D0"/>
    <w:rsid w:val="10121934"/>
    <w:rsid w:val="13A9104E"/>
    <w:rsid w:val="159B3174"/>
    <w:rsid w:val="16311698"/>
    <w:rsid w:val="1688498E"/>
    <w:rsid w:val="1CA32486"/>
    <w:rsid w:val="1CA515CA"/>
    <w:rsid w:val="1D063CE6"/>
    <w:rsid w:val="1D420F4D"/>
    <w:rsid w:val="1ED207F1"/>
    <w:rsid w:val="21FE46C1"/>
    <w:rsid w:val="229E2F25"/>
    <w:rsid w:val="26D8737C"/>
    <w:rsid w:val="270A5493"/>
    <w:rsid w:val="28E35A72"/>
    <w:rsid w:val="29152446"/>
    <w:rsid w:val="29725522"/>
    <w:rsid w:val="299D5C77"/>
    <w:rsid w:val="29FB6244"/>
    <w:rsid w:val="2BBF6689"/>
    <w:rsid w:val="307B424E"/>
    <w:rsid w:val="30BB31C3"/>
    <w:rsid w:val="34B71A3C"/>
    <w:rsid w:val="350865B9"/>
    <w:rsid w:val="372D7921"/>
    <w:rsid w:val="3E47702C"/>
    <w:rsid w:val="3F0554F6"/>
    <w:rsid w:val="3FEE30A7"/>
    <w:rsid w:val="400728E5"/>
    <w:rsid w:val="4086221E"/>
    <w:rsid w:val="472A4155"/>
    <w:rsid w:val="48C805A6"/>
    <w:rsid w:val="48CD77F2"/>
    <w:rsid w:val="4AF62F45"/>
    <w:rsid w:val="4B791DBC"/>
    <w:rsid w:val="4C8A4DD9"/>
    <w:rsid w:val="4E023CD7"/>
    <w:rsid w:val="4F6F7D15"/>
    <w:rsid w:val="509914E7"/>
    <w:rsid w:val="559945EA"/>
    <w:rsid w:val="564C1912"/>
    <w:rsid w:val="576C13AA"/>
    <w:rsid w:val="5AA508B6"/>
    <w:rsid w:val="5D1064C1"/>
    <w:rsid w:val="5E460304"/>
    <w:rsid w:val="5FC12369"/>
    <w:rsid w:val="60CB1559"/>
    <w:rsid w:val="61CC37A0"/>
    <w:rsid w:val="62F93DEF"/>
    <w:rsid w:val="63FA18F7"/>
    <w:rsid w:val="6A811FA7"/>
    <w:rsid w:val="6D876807"/>
    <w:rsid w:val="6E164107"/>
    <w:rsid w:val="6E7B1F23"/>
    <w:rsid w:val="72D731F4"/>
    <w:rsid w:val="76350EFB"/>
    <w:rsid w:val="7790583C"/>
    <w:rsid w:val="7E7A5AC5"/>
    <w:rsid w:val="7F353724"/>
    <w:rsid w:val="7FC50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</customShpExts>
</s:customData>
</file>

<file path=customXml/item2.xml><?xml version="1.0" encoding="utf-8"?>
<CoverPageProperties xmlns="http://schemas.microsoft.com/office/2006/coverPageProps">
  <PublishDate/>
  <Abstract/>
  <CompanyAddress>版权归陕西邦希化工有限公司所有</CompanyAddress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CF7007B2-186A-438C-9260-A410A13E2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1118</Characters>
  <Lines>9</Lines>
  <Paragraphs>2</Paragraphs>
  <TotalTime>0</TotalTime>
  <ScaleCrop>false</ScaleCrop>
  <LinksUpToDate>false</LinksUpToDate>
  <CharactersWithSpaces>1311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2020-07-03T12:42:00Z</dcterms:created>
  <dc:creator>lenovo</dc:creator>
  <cp:lastModifiedBy>believe*^_^*</cp:lastModifiedBy>
  <cp:lastPrinted>2019-04-19T02:55:00Z</cp:lastPrinted>
  <dcterms:modified xsi:type="dcterms:W3CDTF">2020-12-29T03:29:51Z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